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E4AE2" w14:textId="77777777" w:rsidR="005E6E5E" w:rsidRPr="005E6E5E" w:rsidRDefault="005E6E5E" w:rsidP="005E6E5E">
      <w:pPr>
        <w:spacing w:after="0" w:line="480" w:lineRule="auto"/>
        <w:jc w:val="center"/>
        <w:rPr>
          <w:rFonts w:ascii="Times New Roman" w:hAnsi="Times New Roman" w:cs="Times New Roman"/>
          <w:sz w:val="24"/>
          <w:szCs w:val="24"/>
        </w:rPr>
      </w:pPr>
      <w:bookmarkStart w:id="0" w:name="_GoBack"/>
      <w:bookmarkEnd w:id="0"/>
    </w:p>
    <w:p w14:paraId="5E1B7C6B" w14:textId="77777777" w:rsidR="005E6E5E" w:rsidRPr="005E6E5E" w:rsidRDefault="005E6E5E" w:rsidP="005E6E5E">
      <w:pPr>
        <w:spacing w:after="0" w:line="480" w:lineRule="auto"/>
        <w:jc w:val="center"/>
        <w:rPr>
          <w:rFonts w:ascii="Times New Roman" w:hAnsi="Times New Roman" w:cs="Times New Roman"/>
          <w:sz w:val="24"/>
          <w:szCs w:val="24"/>
        </w:rPr>
      </w:pPr>
    </w:p>
    <w:p w14:paraId="5F80F72D" w14:textId="77777777" w:rsidR="005E6E5E" w:rsidRPr="005E6E5E" w:rsidRDefault="005E6E5E" w:rsidP="005E6E5E">
      <w:pPr>
        <w:spacing w:after="0" w:line="480" w:lineRule="auto"/>
        <w:jc w:val="center"/>
        <w:rPr>
          <w:rFonts w:ascii="Times New Roman" w:hAnsi="Times New Roman" w:cs="Times New Roman"/>
          <w:sz w:val="24"/>
          <w:szCs w:val="24"/>
        </w:rPr>
      </w:pPr>
    </w:p>
    <w:p w14:paraId="71975F2C" w14:textId="77777777" w:rsidR="005E6E5E" w:rsidRPr="005E6E5E" w:rsidRDefault="005E6E5E" w:rsidP="005E6E5E">
      <w:pPr>
        <w:spacing w:after="0" w:line="480" w:lineRule="auto"/>
        <w:jc w:val="center"/>
        <w:rPr>
          <w:rFonts w:ascii="Times New Roman" w:hAnsi="Times New Roman" w:cs="Times New Roman"/>
          <w:sz w:val="24"/>
          <w:szCs w:val="24"/>
        </w:rPr>
      </w:pPr>
    </w:p>
    <w:p w14:paraId="572B156B" w14:textId="77777777" w:rsidR="005E6E5E" w:rsidRPr="005E6E5E" w:rsidRDefault="005E6E5E" w:rsidP="005E6E5E">
      <w:pPr>
        <w:spacing w:after="0" w:line="480" w:lineRule="auto"/>
        <w:jc w:val="center"/>
        <w:rPr>
          <w:rFonts w:ascii="Times New Roman" w:hAnsi="Times New Roman" w:cs="Times New Roman"/>
          <w:sz w:val="24"/>
          <w:szCs w:val="24"/>
        </w:rPr>
      </w:pPr>
    </w:p>
    <w:p w14:paraId="2AE17C38" w14:textId="77777777" w:rsidR="005E6E5E" w:rsidRPr="005E6E5E" w:rsidRDefault="005E6E5E" w:rsidP="005E6E5E">
      <w:pPr>
        <w:spacing w:after="0" w:line="480" w:lineRule="auto"/>
        <w:rPr>
          <w:rFonts w:ascii="Times New Roman" w:hAnsi="Times New Roman" w:cs="Times New Roman"/>
          <w:sz w:val="24"/>
          <w:szCs w:val="24"/>
        </w:rPr>
      </w:pPr>
    </w:p>
    <w:p w14:paraId="27673BB9" w14:textId="77777777" w:rsidR="005E6E5E" w:rsidRPr="005E6E5E" w:rsidRDefault="005E6E5E" w:rsidP="005E6E5E">
      <w:pPr>
        <w:spacing w:after="0" w:line="480" w:lineRule="auto"/>
        <w:jc w:val="center"/>
        <w:rPr>
          <w:rFonts w:ascii="Times New Roman" w:hAnsi="Times New Roman" w:cs="Times New Roman"/>
          <w:sz w:val="24"/>
          <w:szCs w:val="24"/>
        </w:rPr>
      </w:pPr>
    </w:p>
    <w:p w14:paraId="3E6AF7B5" w14:textId="77777777" w:rsidR="00AC557B" w:rsidRPr="005E6E5E" w:rsidRDefault="007D432D" w:rsidP="005E6E5E">
      <w:pPr>
        <w:spacing w:after="0" w:line="480" w:lineRule="auto"/>
        <w:jc w:val="center"/>
        <w:rPr>
          <w:rFonts w:ascii="Times New Roman" w:hAnsi="Times New Roman" w:cs="Times New Roman"/>
          <w:sz w:val="24"/>
          <w:szCs w:val="24"/>
        </w:rPr>
      </w:pPr>
      <w:r w:rsidRPr="005E6E5E">
        <w:rPr>
          <w:rFonts w:ascii="Times New Roman" w:hAnsi="Times New Roman" w:cs="Times New Roman"/>
          <w:sz w:val="24"/>
          <w:szCs w:val="24"/>
        </w:rPr>
        <w:t>Non-Statutory Review</w:t>
      </w:r>
    </w:p>
    <w:p w14:paraId="28ADA9E1" w14:textId="252B4D6C" w:rsidR="005E6E5E" w:rsidRPr="005E6E5E" w:rsidRDefault="007D432D" w:rsidP="005E6E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E6E5E">
        <w:rPr>
          <w:rFonts w:ascii="Times New Roman" w:hAnsi="Times New Roman" w:cs="Times New Roman"/>
          <w:sz w:val="24"/>
          <w:szCs w:val="24"/>
        </w:rPr>
        <w:t>Name</w:t>
      </w:r>
    </w:p>
    <w:p w14:paraId="5FBF0319" w14:textId="741D5347" w:rsidR="005E6E5E" w:rsidRPr="005E6E5E" w:rsidRDefault="007D432D" w:rsidP="00556576">
      <w:pPr>
        <w:spacing w:after="0" w:line="480" w:lineRule="auto"/>
        <w:jc w:val="center"/>
        <w:rPr>
          <w:rFonts w:ascii="Times New Roman" w:hAnsi="Times New Roman" w:cs="Times New Roman"/>
          <w:sz w:val="24"/>
          <w:szCs w:val="24"/>
        </w:rPr>
      </w:pPr>
      <w:r w:rsidRPr="005E6E5E">
        <w:rPr>
          <w:rFonts w:ascii="Times New Roman" w:hAnsi="Times New Roman" w:cs="Times New Roman"/>
          <w:sz w:val="24"/>
          <w:szCs w:val="24"/>
        </w:rPr>
        <w:t>Institutional Affiliation</w:t>
      </w:r>
      <w:r w:rsidR="00556576">
        <w:rPr>
          <w:rFonts w:ascii="Times New Roman" w:hAnsi="Times New Roman" w:cs="Times New Roman"/>
          <w:sz w:val="24"/>
          <w:szCs w:val="24"/>
        </w:rPr>
        <w:t>s</w:t>
      </w:r>
    </w:p>
    <w:p w14:paraId="041C19AB" w14:textId="77777777" w:rsidR="00556576" w:rsidRDefault="007D432D" w:rsidP="005E6E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E6C40A" w14:textId="32B5D0E8" w:rsidR="005E6E5E" w:rsidRPr="005E6E5E" w:rsidRDefault="007D432D" w:rsidP="005E6E5E">
      <w:pPr>
        <w:spacing w:after="0" w:line="480" w:lineRule="auto"/>
        <w:jc w:val="center"/>
        <w:rPr>
          <w:rFonts w:ascii="Times New Roman" w:hAnsi="Times New Roman" w:cs="Times New Roman"/>
          <w:sz w:val="24"/>
          <w:szCs w:val="24"/>
        </w:rPr>
      </w:pPr>
      <w:r w:rsidRPr="005E6E5E">
        <w:rPr>
          <w:rFonts w:ascii="Times New Roman" w:hAnsi="Times New Roman" w:cs="Times New Roman"/>
          <w:sz w:val="24"/>
          <w:szCs w:val="24"/>
        </w:rPr>
        <w:lastRenderedPageBreak/>
        <w:t>Non-Statutory Review</w:t>
      </w:r>
    </w:p>
    <w:p w14:paraId="58FB8FA5" w14:textId="07AA4902" w:rsidR="00B24BD6" w:rsidRPr="005E6E5E" w:rsidRDefault="007D432D" w:rsidP="00556576">
      <w:pPr>
        <w:spacing w:after="0" w:line="480" w:lineRule="auto"/>
        <w:rPr>
          <w:rFonts w:ascii="Times New Roman" w:hAnsi="Times New Roman" w:cs="Times New Roman"/>
          <w:b/>
          <w:sz w:val="24"/>
          <w:szCs w:val="24"/>
        </w:rPr>
      </w:pPr>
      <w:r w:rsidRPr="005E6E5E">
        <w:rPr>
          <w:rFonts w:ascii="Times New Roman" w:hAnsi="Times New Roman" w:cs="Times New Roman"/>
          <w:b/>
          <w:sz w:val="24"/>
          <w:szCs w:val="24"/>
        </w:rPr>
        <w:t>Question 1</w:t>
      </w:r>
      <w:r w:rsidR="00556576">
        <w:rPr>
          <w:rFonts w:ascii="Times New Roman" w:hAnsi="Times New Roman" w:cs="Times New Roman"/>
          <w:b/>
          <w:sz w:val="24"/>
          <w:szCs w:val="24"/>
        </w:rPr>
        <w:t xml:space="preserve">: </w:t>
      </w:r>
      <w:r w:rsidR="00556576" w:rsidRPr="00556576">
        <w:rPr>
          <w:rFonts w:ascii="Times New Roman" w:hAnsi="Times New Roman" w:cs="Times New Roman"/>
          <w:b/>
          <w:sz w:val="24"/>
          <w:szCs w:val="24"/>
        </w:rPr>
        <w:t>Define non-statutory review. Discuss why courts presume that agencies have a review process in place. Why is this important? Is this a question of fact or a question of law? Explain by discussing the role of the public manager as explained in the Denhardt and Denhardt article.</w:t>
      </w:r>
    </w:p>
    <w:p w14:paraId="45C288E1" w14:textId="77777777" w:rsidR="00F44F6A" w:rsidRPr="005E6E5E" w:rsidRDefault="007D432D" w:rsidP="005E6E5E">
      <w:pPr>
        <w:spacing w:after="0" w:line="480" w:lineRule="auto"/>
        <w:ind w:firstLine="720"/>
        <w:rPr>
          <w:rFonts w:ascii="Times New Roman" w:hAnsi="Times New Roman" w:cs="Times New Roman"/>
          <w:sz w:val="24"/>
          <w:szCs w:val="24"/>
        </w:rPr>
      </w:pPr>
      <w:r w:rsidRPr="005E6E5E">
        <w:rPr>
          <w:rFonts w:ascii="Times New Roman" w:hAnsi="Times New Roman" w:cs="Times New Roman"/>
          <w:sz w:val="24"/>
          <w:szCs w:val="24"/>
        </w:rPr>
        <w:t>Non-statutory review in administrative context is grounded on a statute that does not refer to an administrative action. In p</w:t>
      </w:r>
      <w:r w:rsidRPr="005E6E5E">
        <w:rPr>
          <w:rFonts w:ascii="Times New Roman" w:hAnsi="Times New Roman" w:cs="Times New Roman"/>
          <w:sz w:val="24"/>
          <w:szCs w:val="24"/>
        </w:rPr>
        <w:t xml:space="preserve">articular, statutory review prevents non-statutory review </w:t>
      </w:r>
      <w:r w:rsidR="00941CE5" w:rsidRPr="005E6E5E">
        <w:rPr>
          <w:rFonts w:ascii="Times New Roman" w:hAnsi="Times New Roman" w:cs="Times New Roman"/>
          <w:sz w:val="24"/>
          <w:szCs w:val="24"/>
        </w:rPr>
        <w:t xml:space="preserve">impliedly or even expressly as well as it is another kind of common law that is utilized within the judicial scheme. It is important to comprehend that there exist numerous types of non-statutory review processes including adult case review, single case, multi-case, as well as peer review. </w:t>
      </w:r>
      <w:r w:rsidRPr="005E6E5E">
        <w:rPr>
          <w:rFonts w:ascii="Times New Roman" w:hAnsi="Times New Roman" w:cs="Times New Roman"/>
          <w:sz w:val="24"/>
          <w:szCs w:val="24"/>
        </w:rPr>
        <w:t xml:space="preserve"> </w:t>
      </w:r>
    </w:p>
    <w:p w14:paraId="5309F4B5" w14:textId="77777777" w:rsidR="00415A56" w:rsidRPr="005E6E5E" w:rsidRDefault="007D432D" w:rsidP="005E6E5E">
      <w:pPr>
        <w:spacing w:after="0" w:line="480" w:lineRule="auto"/>
        <w:ind w:firstLine="720"/>
        <w:rPr>
          <w:rFonts w:ascii="Times New Roman" w:hAnsi="Times New Roman" w:cs="Times New Roman"/>
          <w:sz w:val="24"/>
          <w:szCs w:val="24"/>
        </w:rPr>
      </w:pPr>
      <w:r w:rsidRPr="005E6E5E">
        <w:rPr>
          <w:rFonts w:ascii="Times New Roman" w:hAnsi="Times New Roman" w:cs="Times New Roman"/>
          <w:sz w:val="24"/>
          <w:szCs w:val="24"/>
        </w:rPr>
        <w:t>It is noteworthy that the review process is significant for the elaboration of both tactics as well as feedbacks existing within different jobs in correlated fir</w:t>
      </w:r>
      <w:r w:rsidRPr="005E6E5E">
        <w:rPr>
          <w:rFonts w:ascii="Times New Roman" w:hAnsi="Times New Roman" w:cs="Times New Roman"/>
          <w:sz w:val="24"/>
          <w:szCs w:val="24"/>
        </w:rPr>
        <w:t>ms. In this case, courts presume that the available agencies have a review process, as preview play a vital role in evaluating the opportunity for an employee as well as manager to achieve and discuss the worker task performance, the organizational priorit</w:t>
      </w:r>
      <w:r w:rsidRPr="005E6E5E">
        <w:rPr>
          <w:rFonts w:ascii="Times New Roman" w:hAnsi="Times New Roman" w:cs="Times New Roman"/>
          <w:sz w:val="24"/>
          <w:szCs w:val="24"/>
        </w:rPr>
        <w:t xml:space="preserve">ies, as well as the performance objectives. </w:t>
      </w:r>
      <w:r w:rsidR="000300DA" w:rsidRPr="005E6E5E">
        <w:rPr>
          <w:rFonts w:ascii="Times New Roman" w:hAnsi="Times New Roman" w:cs="Times New Roman"/>
          <w:sz w:val="24"/>
          <w:szCs w:val="24"/>
        </w:rPr>
        <w:t>It is prudent to note that agencies are organized in a manner that they receive the feedbacks from particular services they have provided and is presumed to be exquisite to receive feedback concerning what one adjusts on</w:t>
      </w:r>
      <w:r w:rsidR="008411C3" w:rsidRPr="005E6E5E">
        <w:rPr>
          <w:rFonts w:ascii="Times New Roman" w:hAnsi="Times New Roman" w:cs="Times New Roman"/>
          <w:sz w:val="24"/>
          <w:szCs w:val="24"/>
        </w:rPr>
        <w:t xml:space="preserve"> (Denhardt &amp; Denhardt, 2000)</w:t>
      </w:r>
      <w:r w:rsidR="000300DA" w:rsidRPr="005E6E5E">
        <w:rPr>
          <w:rFonts w:ascii="Times New Roman" w:hAnsi="Times New Roman" w:cs="Times New Roman"/>
          <w:sz w:val="24"/>
          <w:szCs w:val="24"/>
        </w:rPr>
        <w:t xml:space="preserve">. Specifically, agencies possess a review </w:t>
      </w:r>
      <w:r w:rsidR="00691C51" w:rsidRPr="005E6E5E">
        <w:rPr>
          <w:rFonts w:ascii="Times New Roman" w:hAnsi="Times New Roman" w:cs="Times New Roman"/>
          <w:sz w:val="24"/>
          <w:szCs w:val="24"/>
        </w:rPr>
        <w:t>process,</w:t>
      </w:r>
      <w:r w:rsidR="000300DA" w:rsidRPr="005E6E5E">
        <w:rPr>
          <w:rFonts w:ascii="Times New Roman" w:hAnsi="Times New Roman" w:cs="Times New Roman"/>
          <w:sz w:val="24"/>
          <w:szCs w:val="24"/>
        </w:rPr>
        <w:t xml:space="preserve"> as it is important in proving the workers an approach to reflect on their personal performance. </w:t>
      </w:r>
    </w:p>
    <w:p w14:paraId="3FFD9CD8" w14:textId="77777777" w:rsidR="002A44A3" w:rsidRPr="005E6E5E" w:rsidRDefault="007D432D" w:rsidP="005E6E5E">
      <w:pPr>
        <w:spacing w:after="0" w:line="480" w:lineRule="auto"/>
        <w:ind w:firstLine="720"/>
        <w:rPr>
          <w:rFonts w:ascii="Times New Roman" w:hAnsi="Times New Roman" w:cs="Times New Roman"/>
          <w:sz w:val="24"/>
          <w:szCs w:val="24"/>
        </w:rPr>
      </w:pPr>
      <w:r w:rsidRPr="005E6E5E">
        <w:rPr>
          <w:rFonts w:ascii="Times New Roman" w:hAnsi="Times New Roman" w:cs="Times New Roman"/>
          <w:sz w:val="24"/>
          <w:szCs w:val="24"/>
        </w:rPr>
        <w:t>On the same note, the review process is vital because it allows the majority of the available agencies to learn the potential within their workers. In particular, organizations utilize the feedbacks from workers to collect the background data pertaining to</w:t>
      </w:r>
      <w:r w:rsidRPr="005E6E5E">
        <w:rPr>
          <w:rFonts w:ascii="Times New Roman" w:hAnsi="Times New Roman" w:cs="Times New Roman"/>
          <w:sz w:val="24"/>
          <w:szCs w:val="24"/>
        </w:rPr>
        <w:t xml:space="preserve"> the responsibilities they </w:t>
      </w:r>
      <w:r w:rsidRPr="005E6E5E">
        <w:rPr>
          <w:rFonts w:ascii="Times New Roman" w:hAnsi="Times New Roman" w:cs="Times New Roman"/>
          <w:sz w:val="24"/>
          <w:szCs w:val="24"/>
        </w:rPr>
        <w:lastRenderedPageBreak/>
        <w:t xml:space="preserve">perform within the company. </w:t>
      </w:r>
      <w:r w:rsidR="00B72324" w:rsidRPr="005E6E5E">
        <w:rPr>
          <w:rFonts w:ascii="Times New Roman" w:hAnsi="Times New Roman" w:cs="Times New Roman"/>
          <w:sz w:val="24"/>
          <w:szCs w:val="24"/>
        </w:rPr>
        <w:t xml:space="preserve">Notably, this is a matter of fact and to some point a law relying on the nature of reasoning of the firm or the existing council. </w:t>
      </w:r>
    </w:p>
    <w:p w14:paraId="7F76E32E" w14:textId="45129448" w:rsidR="001769DC" w:rsidRPr="005E6E5E" w:rsidRDefault="007D432D" w:rsidP="00556576">
      <w:pPr>
        <w:spacing w:after="0" w:line="480" w:lineRule="auto"/>
        <w:rPr>
          <w:rFonts w:ascii="Times New Roman" w:hAnsi="Times New Roman" w:cs="Times New Roman"/>
          <w:b/>
          <w:sz w:val="24"/>
          <w:szCs w:val="24"/>
        </w:rPr>
      </w:pPr>
      <w:r w:rsidRPr="005E6E5E">
        <w:rPr>
          <w:rFonts w:ascii="Times New Roman" w:hAnsi="Times New Roman" w:cs="Times New Roman"/>
          <w:b/>
          <w:sz w:val="24"/>
          <w:szCs w:val="24"/>
        </w:rPr>
        <w:t>Question 2</w:t>
      </w:r>
      <w:r w:rsidR="00556576">
        <w:rPr>
          <w:rFonts w:ascii="Times New Roman" w:hAnsi="Times New Roman" w:cs="Times New Roman"/>
          <w:b/>
          <w:sz w:val="24"/>
          <w:szCs w:val="24"/>
        </w:rPr>
        <w:t xml:space="preserve">: </w:t>
      </w:r>
      <w:r w:rsidR="00556576" w:rsidRPr="00556576">
        <w:rPr>
          <w:rFonts w:ascii="Times New Roman" w:hAnsi="Times New Roman" w:cs="Times New Roman"/>
          <w:b/>
          <w:sz w:val="24"/>
          <w:szCs w:val="24"/>
        </w:rPr>
        <w:t>Explain the process differences between administrative and judicial adjudication. Use examples of cases from the text to expand your response.</w:t>
      </w:r>
    </w:p>
    <w:p w14:paraId="2A7A478D" w14:textId="75EF7132" w:rsidR="0070645B" w:rsidRPr="005E6E5E" w:rsidRDefault="007D432D" w:rsidP="00556576">
      <w:pPr>
        <w:spacing w:after="0" w:line="480" w:lineRule="auto"/>
        <w:ind w:firstLine="720"/>
        <w:rPr>
          <w:rFonts w:ascii="Times New Roman" w:hAnsi="Times New Roman" w:cs="Times New Roman"/>
          <w:sz w:val="24"/>
          <w:szCs w:val="24"/>
        </w:rPr>
      </w:pPr>
      <w:r w:rsidRPr="005E6E5E">
        <w:rPr>
          <w:rFonts w:ascii="Times New Roman" w:hAnsi="Times New Roman" w:cs="Times New Roman"/>
          <w:sz w:val="24"/>
          <w:szCs w:val="24"/>
        </w:rPr>
        <w:t xml:space="preserve">To begin with, </w:t>
      </w:r>
      <w:r w:rsidR="00D80343" w:rsidRPr="005E6E5E">
        <w:rPr>
          <w:rFonts w:ascii="Times New Roman" w:hAnsi="Times New Roman" w:cs="Times New Roman"/>
          <w:sz w:val="24"/>
          <w:szCs w:val="24"/>
        </w:rPr>
        <w:t xml:space="preserve">administrative adjudication is a recognized process where an administrative agency offers an affirmative, declaratory, injunctive, or even negative order. Notably, the formal proceedings prior to an administrative agency adopt the process of </w:t>
      </w:r>
      <w:r w:rsidR="0028282D" w:rsidRPr="005E6E5E">
        <w:rPr>
          <w:rFonts w:ascii="Times New Roman" w:hAnsi="Times New Roman" w:cs="Times New Roman"/>
          <w:sz w:val="24"/>
          <w:szCs w:val="24"/>
        </w:rPr>
        <w:t>rulemaking</w:t>
      </w:r>
      <w:r w:rsidR="00D80343" w:rsidRPr="005E6E5E">
        <w:rPr>
          <w:rFonts w:ascii="Times New Roman" w:hAnsi="Times New Roman" w:cs="Times New Roman"/>
          <w:sz w:val="24"/>
          <w:szCs w:val="24"/>
        </w:rPr>
        <w:t xml:space="preserve"> or what is called adjudication.</w:t>
      </w:r>
      <w:r w:rsidR="0028282D" w:rsidRPr="005E6E5E">
        <w:rPr>
          <w:rFonts w:ascii="Times New Roman" w:hAnsi="Times New Roman" w:cs="Times New Roman"/>
          <w:sz w:val="24"/>
          <w:szCs w:val="24"/>
        </w:rPr>
        <w:t xml:space="preserve"> It is important to comprehend that in the rule-making process, the available policies are devised by setting rules for the future conduct of individuals managed by the agency as mentioned earlier. </w:t>
      </w:r>
      <w:r w:rsidR="00377687" w:rsidRPr="005E6E5E">
        <w:rPr>
          <w:rFonts w:ascii="Times New Roman" w:hAnsi="Times New Roman" w:cs="Times New Roman"/>
          <w:sz w:val="24"/>
          <w:szCs w:val="24"/>
        </w:rPr>
        <w:t xml:space="preserve">Conversely, in adjudication procedure, the policies of the agency are utilized to the past actions of a specific party as well as results </w:t>
      </w:r>
      <w:r w:rsidR="004407F0" w:rsidRPr="005E6E5E">
        <w:rPr>
          <w:rFonts w:ascii="Times New Roman" w:hAnsi="Times New Roman" w:cs="Times New Roman"/>
          <w:sz w:val="24"/>
          <w:szCs w:val="24"/>
        </w:rPr>
        <w:t>in</w:t>
      </w:r>
      <w:r w:rsidR="00377687" w:rsidRPr="005E6E5E">
        <w:rPr>
          <w:rFonts w:ascii="Times New Roman" w:hAnsi="Times New Roman" w:cs="Times New Roman"/>
          <w:sz w:val="24"/>
          <w:szCs w:val="24"/>
        </w:rPr>
        <w:t xml:space="preserve"> an order for or even against that party. Notably, </w:t>
      </w:r>
      <w:r w:rsidR="00826981" w:rsidRPr="005E6E5E">
        <w:rPr>
          <w:rFonts w:ascii="Times New Roman" w:hAnsi="Times New Roman" w:cs="Times New Roman"/>
          <w:sz w:val="24"/>
          <w:szCs w:val="24"/>
        </w:rPr>
        <w:t>administrative procedure law controls both approaches mentioned above</w:t>
      </w:r>
      <w:r w:rsidR="00377687" w:rsidRPr="005E6E5E">
        <w:rPr>
          <w:rFonts w:ascii="Times New Roman" w:hAnsi="Times New Roman" w:cs="Times New Roman"/>
          <w:sz w:val="24"/>
          <w:szCs w:val="24"/>
        </w:rPr>
        <w:t>.</w:t>
      </w:r>
      <w:r w:rsidR="00282CC6" w:rsidRPr="005E6E5E">
        <w:rPr>
          <w:rFonts w:ascii="Times New Roman" w:hAnsi="Times New Roman" w:cs="Times New Roman"/>
          <w:sz w:val="24"/>
          <w:szCs w:val="24"/>
        </w:rPr>
        <w:t xml:space="preserve"> For example, </w:t>
      </w:r>
      <w:r w:rsidR="00E663B1" w:rsidRPr="005E6E5E">
        <w:rPr>
          <w:rFonts w:ascii="Times New Roman" w:hAnsi="Times New Roman" w:cs="Times New Roman"/>
          <w:sz w:val="24"/>
          <w:szCs w:val="24"/>
        </w:rPr>
        <w:t xml:space="preserve">in rule-making, the new public management has implemented new techniques and new set of values that are drawn from the private sector. </w:t>
      </w:r>
      <w:r w:rsidR="00C01AE9" w:rsidRPr="005E6E5E">
        <w:rPr>
          <w:rFonts w:ascii="Times New Roman" w:hAnsi="Times New Roman" w:cs="Times New Roman"/>
          <w:sz w:val="24"/>
          <w:szCs w:val="24"/>
        </w:rPr>
        <w:t xml:space="preserve">In adjudication, the new public management </w:t>
      </w:r>
      <w:r w:rsidR="004C6BF1" w:rsidRPr="005E6E5E">
        <w:rPr>
          <w:rFonts w:ascii="Times New Roman" w:hAnsi="Times New Roman" w:cs="Times New Roman"/>
          <w:sz w:val="24"/>
          <w:szCs w:val="24"/>
        </w:rPr>
        <w:t>has</w:t>
      </w:r>
      <w:r w:rsidR="00C01AE9" w:rsidRPr="005E6E5E">
        <w:rPr>
          <w:rFonts w:ascii="Times New Roman" w:hAnsi="Times New Roman" w:cs="Times New Roman"/>
          <w:sz w:val="24"/>
          <w:szCs w:val="24"/>
        </w:rPr>
        <w:t xml:space="preserve"> utilized the old administration as a foil against which the precepts of entrepreneurship </w:t>
      </w:r>
      <w:r w:rsidR="00754C6D" w:rsidRPr="005E6E5E">
        <w:rPr>
          <w:rFonts w:ascii="Times New Roman" w:hAnsi="Times New Roman" w:cs="Times New Roman"/>
          <w:sz w:val="24"/>
          <w:szCs w:val="24"/>
        </w:rPr>
        <w:t>are</w:t>
      </w:r>
      <w:r w:rsidR="00C01AE9" w:rsidRPr="005E6E5E">
        <w:rPr>
          <w:rFonts w:ascii="Times New Roman" w:hAnsi="Times New Roman" w:cs="Times New Roman"/>
          <w:sz w:val="24"/>
          <w:szCs w:val="24"/>
        </w:rPr>
        <w:t xml:space="preserve"> observed as superior</w:t>
      </w:r>
      <w:r w:rsidR="00722BE7" w:rsidRPr="005E6E5E">
        <w:rPr>
          <w:rFonts w:ascii="Times New Roman" w:hAnsi="Times New Roman" w:cs="Times New Roman"/>
          <w:sz w:val="24"/>
          <w:szCs w:val="24"/>
        </w:rPr>
        <w:t xml:space="preserve"> (Denhardt &amp; Denhardt, 2000)</w:t>
      </w:r>
      <w:r w:rsidR="00C01AE9" w:rsidRPr="005E6E5E">
        <w:rPr>
          <w:rFonts w:ascii="Times New Roman" w:hAnsi="Times New Roman" w:cs="Times New Roman"/>
          <w:sz w:val="24"/>
          <w:szCs w:val="24"/>
        </w:rPr>
        <w:t xml:space="preserve">. </w:t>
      </w:r>
      <w:r w:rsidR="003B4021" w:rsidRPr="005E6E5E">
        <w:rPr>
          <w:rFonts w:ascii="Times New Roman" w:hAnsi="Times New Roman" w:cs="Times New Roman"/>
          <w:sz w:val="24"/>
          <w:szCs w:val="24"/>
        </w:rPr>
        <w:t xml:space="preserve">On the other hand, judicial adjudication is known as the legal process where an arbiter or even a judge reviews evidence as well as argumentation consisting of legal reasoning that is set forth by opposing parties or even litigants to form a decision that determines rights as well as responsibilities between the parties involved. </w:t>
      </w:r>
      <w:r w:rsidR="008A3527" w:rsidRPr="005E6E5E">
        <w:rPr>
          <w:rFonts w:ascii="Times New Roman" w:hAnsi="Times New Roman" w:cs="Times New Roman"/>
          <w:sz w:val="24"/>
          <w:szCs w:val="24"/>
        </w:rPr>
        <w:t xml:space="preserve">Notably, the aforementioned process is recognized as a set of related procedures as well as duties for deciding disputes by as well as authoritative individual whose decisions are obeyed. </w:t>
      </w:r>
      <w:r w:rsidR="00B722E9" w:rsidRPr="005E6E5E">
        <w:rPr>
          <w:rFonts w:ascii="Times New Roman" w:hAnsi="Times New Roman" w:cs="Times New Roman"/>
          <w:sz w:val="24"/>
          <w:szCs w:val="24"/>
        </w:rPr>
        <w:t>For example, the public interest is the aim and not the by-product</w:t>
      </w:r>
      <w:r w:rsidRPr="005E6E5E">
        <w:rPr>
          <w:rFonts w:ascii="Times New Roman" w:hAnsi="Times New Roman" w:cs="Times New Roman"/>
          <w:sz w:val="24"/>
          <w:szCs w:val="24"/>
        </w:rPr>
        <w:t xml:space="preserve"> </w:t>
      </w:r>
      <w:r w:rsidRPr="005E6E5E">
        <w:rPr>
          <w:rFonts w:ascii="Times New Roman" w:hAnsi="Times New Roman" w:cs="Times New Roman"/>
          <w:sz w:val="24"/>
          <w:szCs w:val="24"/>
        </w:rPr>
        <w:lastRenderedPageBreak/>
        <w:t>(</w:t>
      </w:r>
      <w:r w:rsidR="00C33DC6" w:rsidRPr="005E6E5E">
        <w:rPr>
          <w:rFonts w:ascii="Times New Roman" w:hAnsi="Times New Roman" w:cs="Times New Roman"/>
          <w:sz w:val="24"/>
          <w:szCs w:val="24"/>
        </w:rPr>
        <w:t>Denhardt</w:t>
      </w:r>
      <w:r w:rsidRPr="005E6E5E">
        <w:rPr>
          <w:rFonts w:ascii="Times New Roman" w:hAnsi="Times New Roman" w:cs="Times New Roman"/>
          <w:sz w:val="24"/>
          <w:szCs w:val="24"/>
        </w:rPr>
        <w:t xml:space="preserve"> &amp; Denhardt, 2000)</w:t>
      </w:r>
      <w:r w:rsidR="00B722E9" w:rsidRPr="005E6E5E">
        <w:rPr>
          <w:rFonts w:ascii="Times New Roman" w:hAnsi="Times New Roman" w:cs="Times New Roman"/>
          <w:sz w:val="24"/>
          <w:szCs w:val="24"/>
        </w:rPr>
        <w:t>. Therefore, public administrators take part in contributing to constructing a collective as well as a shared notion of the public interest.</w:t>
      </w:r>
    </w:p>
    <w:p w14:paraId="62937B3D" w14:textId="77777777" w:rsidR="00556576" w:rsidRDefault="007D432D" w:rsidP="005E6E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17BAC0" w14:textId="0B2D43EC" w:rsidR="0070645B" w:rsidRPr="005E6E5E" w:rsidRDefault="007D432D" w:rsidP="005E6E5E">
      <w:pPr>
        <w:spacing w:after="0" w:line="480" w:lineRule="auto"/>
        <w:jc w:val="center"/>
        <w:rPr>
          <w:rFonts w:ascii="Times New Roman" w:hAnsi="Times New Roman" w:cs="Times New Roman"/>
          <w:sz w:val="24"/>
          <w:szCs w:val="24"/>
        </w:rPr>
      </w:pPr>
      <w:r w:rsidRPr="005E6E5E">
        <w:rPr>
          <w:rFonts w:ascii="Times New Roman" w:hAnsi="Times New Roman" w:cs="Times New Roman"/>
          <w:sz w:val="24"/>
          <w:szCs w:val="24"/>
        </w:rPr>
        <w:lastRenderedPageBreak/>
        <w:t>Reference</w:t>
      </w:r>
    </w:p>
    <w:p w14:paraId="302069F3" w14:textId="1AD7AA1A" w:rsidR="0070645B" w:rsidRPr="005E6E5E" w:rsidRDefault="007D432D" w:rsidP="00556576">
      <w:pPr>
        <w:spacing w:after="0" w:line="480" w:lineRule="auto"/>
        <w:ind w:left="720" w:hanging="720"/>
        <w:rPr>
          <w:rFonts w:ascii="Times New Roman" w:hAnsi="Times New Roman" w:cs="Times New Roman"/>
          <w:sz w:val="24"/>
          <w:szCs w:val="24"/>
        </w:rPr>
      </w:pPr>
      <w:r w:rsidRPr="005E6E5E">
        <w:rPr>
          <w:rFonts w:ascii="Times New Roman" w:hAnsi="Times New Roman" w:cs="Times New Roman"/>
          <w:sz w:val="24"/>
          <w:szCs w:val="24"/>
        </w:rPr>
        <w:t xml:space="preserve">Denhardt, R. B., &amp; Denhardt, J. V. (2000). The New Public Service: Serving Rather than Steering. </w:t>
      </w:r>
      <w:r w:rsidRPr="005E6E5E">
        <w:rPr>
          <w:rFonts w:ascii="Times New Roman" w:hAnsi="Times New Roman" w:cs="Times New Roman"/>
          <w:sz w:val="24"/>
          <w:szCs w:val="24"/>
        </w:rPr>
        <w:t>Public Administration Review, 60(6), 549–559. doi:10.1111/0033-3352.00117</w:t>
      </w:r>
    </w:p>
    <w:sectPr w:rsidR="0070645B" w:rsidRPr="005E6E5E" w:rsidSect="005E6E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517CF" w14:textId="77777777" w:rsidR="007D432D" w:rsidRDefault="007D432D">
      <w:pPr>
        <w:spacing w:after="0" w:line="240" w:lineRule="auto"/>
      </w:pPr>
      <w:r>
        <w:separator/>
      </w:r>
    </w:p>
  </w:endnote>
  <w:endnote w:type="continuationSeparator" w:id="0">
    <w:p w14:paraId="55B25F0D" w14:textId="77777777" w:rsidR="007D432D" w:rsidRDefault="007D4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00EEF" w14:textId="77777777" w:rsidR="007D432D" w:rsidRDefault="007D432D">
      <w:pPr>
        <w:spacing w:after="0" w:line="240" w:lineRule="auto"/>
      </w:pPr>
      <w:r>
        <w:separator/>
      </w:r>
    </w:p>
  </w:footnote>
  <w:footnote w:type="continuationSeparator" w:id="0">
    <w:p w14:paraId="5CB95A2C" w14:textId="77777777" w:rsidR="007D432D" w:rsidRDefault="007D4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42F4C" w14:textId="77777777" w:rsidR="005E6E5E" w:rsidRPr="002A1BA6" w:rsidRDefault="007D432D" w:rsidP="005E6E5E">
    <w:pPr>
      <w:pStyle w:val="Header"/>
      <w:rPr>
        <w:rFonts w:ascii="Times New Roman" w:hAnsi="Times New Roman" w:cs="Times New Roman"/>
      </w:rPr>
    </w:pPr>
    <w:r w:rsidRPr="002A1BA6">
      <w:rPr>
        <w:rFonts w:ascii="Times New Roman" w:hAnsi="Times New Roman" w:cs="Times New Roman"/>
      </w:rPr>
      <w:t xml:space="preserve">NON-STATUTORY REVIEW </w:t>
    </w:r>
    <w:sdt>
      <w:sdtPr>
        <w:rPr>
          <w:rFonts w:ascii="Times New Roman" w:hAnsi="Times New Roman" w:cs="Times New Roman"/>
        </w:rPr>
        <w:id w:val="-1188286862"/>
        <w:docPartObj>
          <w:docPartGallery w:val="Page Numbers (Top of Page)"/>
          <w:docPartUnique/>
        </w:docPartObj>
      </w:sdtPr>
      <w:sdtEndPr>
        <w:rPr>
          <w:noProof/>
        </w:rPr>
      </w:sdtEndPr>
      <w:sdtContent>
        <w:r w:rsidRPr="002A1BA6">
          <w:rPr>
            <w:rFonts w:ascii="Times New Roman" w:hAnsi="Times New Roman" w:cs="Times New Roman"/>
          </w:rPr>
          <w:tab/>
        </w:r>
        <w:r w:rsidRPr="002A1BA6">
          <w:rPr>
            <w:rFonts w:ascii="Times New Roman" w:hAnsi="Times New Roman" w:cs="Times New Roman"/>
          </w:rPr>
          <w:tab/>
        </w:r>
        <w:r w:rsidRPr="002A1BA6">
          <w:rPr>
            <w:rFonts w:ascii="Times New Roman" w:hAnsi="Times New Roman" w:cs="Times New Roman"/>
          </w:rPr>
          <w:fldChar w:fldCharType="begin"/>
        </w:r>
        <w:r w:rsidRPr="002A1BA6">
          <w:rPr>
            <w:rFonts w:ascii="Times New Roman" w:hAnsi="Times New Roman" w:cs="Times New Roman"/>
          </w:rPr>
          <w:instrText xml:space="preserve"> PAGE   \* MERGEFORMAT </w:instrText>
        </w:r>
        <w:r w:rsidRPr="002A1BA6">
          <w:rPr>
            <w:rFonts w:ascii="Times New Roman" w:hAnsi="Times New Roman" w:cs="Times New Roman"/>
          </w:rPr>
          <w:fldChar w:fldCharType="separate"/>
        </w:r>
        <w:r w:rsidR="00B80EF6" w:rsidRPr="002A1BA6">
          <w:rPr>
            <w:rFonts w:ascii="Times New Roman" w:hAnsi="Times New Roman" w:cs="Times New Roman"/>
            <w:noProof/>
          </w:rPr>
          <w:t>4</w:t>
        </w:r>
        <w:r w:rsidRPr="002A1BA6">
          <w:rPr>
            <w:rFonts w:ascii="Times New Roman" w:hAnsi="Times New Roman" w:cs="Times New Roman"/>
            <w:noProof/>
          </w:rPr>
          <w:fldChar w:fldCharType="end"/>
        </w:r>
      </w:sdtContent>
    </w:sdt>
  </w:p>
  <w:p w14:paraId="2EA7768D" w14:textId="77777777" w:rsidR="005E6E5E" w:rsidRDefault="005E6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36381" w14:textId="77777777" w:rsidR="005E6E5E" w:rsidRPr="00A5513F" w:rsidRDefault="007D432D" w:rsidP="005E6E5E">
    <w:pPr>
      <w:pStyle w:val="Header"/>
      <w:rPr>
        <w:rFonts w:ascii="Times New Roman" w:hAnsi="Times New Roman" w:cs="Times New Roman"/>
      </w:rPr>
    </w:pPr>
    <w:r w:rsidRPr="00A5513F">
      <w:rPr>
        <w:rFonts w:ascii="Times New Roman" w:hAnsi="Times New Roman" w:cs="Times New Roman"/>
      </w:rPr>
      <w:t xml:space="preserve">Running head: NON-STATUTORY REVIEW </w:t>
    </w:r>
    <w:sdt>
      <w:sdtPr>
        <w:rPr>
          <w:rFonts w:ascii="Times New Roman" w:hAnsi="Times New Roman" w:cs="Times New Roman"/>
        </w:rPr>
        <w:id w:val="895556593"/>
        <w:docPartObj>
          <w:docPartGallery w:val="Page Numbers (Top of Page)"/>
          <w:docPartUnique/>
        </w:docPartObj>
      </w:sdtPr>
      <w:sdtEndPr>
        <w:rPr>
          <w:noProof/>
        </w:rPr>
      </w:sdtEndPr>
      <w:sdtContent>
        <w:r w:rsidRPr="00A5513F">
          <w:rPr>
            <w:rFonts w:ascii="Times New Roman" w:hAnsi="Times New Roman" w:cs="Times New Roman"/>
          </w:rPr>
          <w:tab/>
        </w:r>
        <w:r w:rsidRPr="00A5513F">
          <w:rPr>
            <w:rFonts w:ascii="Times New Roman" w:hAnsi="Times New Roman" w:cs="Times New Roman"/>
          </w:rPr>
          <w:tab/>
        </w:r>
        <w:r w:rsidRPr="00A5513F">
          <w:rPr>
            <w:rFonts w:ascii="Times New Roman" w:hAnsi="Times New Roman" w:cs="Times New Roman"/>
          </w:rPr>
          <w:fldChar w:fldCharType="begin"/>
        </w:r>
        <w:r w:rsidRPr="00A5513F">
          <w:rPr>
            <w:rFonts w:ascii="Times New Roman" w:hAnsi="Times New Roman" w:cs="Times New Roman"/>
          </w:rPr>
          <w:instrText xml:space="preserve"> PAGE   \* MERGEFORMAT </w:instrText>
        </w:r>
        <w:r w:rsidRPr="00A5513F">
          <w:rPr>
            <w:rFonts w:ascii="Times New Roman" w:hAnsi="Times New Roman" w:cs="Times New Roman"/>
          </w:rPr>
          <w:fldChar w:fldCharType="separate"/>
        </w:r>
        <w:r w:rsidR="00B80EF6" w:rsidRPr="00A5513F">
          <w:rPr>
            <w:rFonts w:ascii="Times New Roman" w:hAnsi="Times New Roman" w:cs="Times New Roman"/>
            <w:noProof/>
          </w:rPr>
          <w:t>1</w:t>
        </w:r>
        <w:r w:rsidRPr="00A5513F">
          <w:rPr>
            <w:rFonts w:ascii="Times New Roman" w:hAnsi="Times New Roman" w:cs="Times New Roman"/>
            <w:noProof/>
          </w:rPr>
          <w:fldChar w:fldCharType="end"/>
        </w:r>
      </w:sdtContent>
    </w:sdt>
  </w:p>
  <w:p w14:paraId="2D4D29E6" w14:textId="77777777" w:rsidR="005E6E5E" w:rsidRDefault="005E6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BD6"/>
    <w:rsid w:val="000300DA"/>
    <w:rsid w:val="001769DC"/>
    <w:rsid w:val="0022476E"/>
    <w:rsid w:val="0028282D"/>
    <w:rsid w:val="00282CC6"/>
    <w:rsid w:val="002A1BA6"/>
    <w:rsid w:val="002A44A3"/>
    <w:rsid w:val="00377687"/>
    <w:rsid w:val="003B4021"/>
    <w:rsid w:val="00415A56"/>
    <w:rsid w:val="004407F0"/>
    <w:rsid w:val="004B3178"/>
    <w:rsid w:val="004C6BF1"/>
    <w:rsid w:val="00556576"/>
    <w:rsid w:val="005E6E5E"/>
    <w:rsid w:val="00691C51"/>
    <w:rsid w:val="006D3D74"/>
    <w:rsid w:val="0070645B"/>
    <w:rsid w:val="00722BE7"/>
    <w:rsid w:val="00754C6D"/>
    <w:rsid w:val="007D432D"/>
    <w:rsid w:val="00826981"/>
    <w:rsid w:val="008411C3"/>
    <w:rsid w:val="00860549"/>
    <w:rsid w:val="008A3527"/>
    <w:rsid w:val="00941CE5"/>
    <w:rsid w:val="00A5513F"/>
    <w:rsid w:val="00AC557B"/>
    <w:rsid w:val="00B24BD6"/>
    <w:rsid w:val="00B722E9"/>
    <w:rsid w:val="00B72324"/>
    <w:rsid w:val="00B80EF6"/>
    <w:rsid w:val="00BE0B9B"/>
    <w:rsid w:val="00C01AE9"/>
    <w:rsid w:val="00C33DC6"/>
    <w:rsid w:val="00C91FA8"/>
    <w:rsid w:val="00D80343"/>
    <w:rsid w:val="00DA3EB6"/>
    <w:rsid w:val="00E663B1"/>
    <w:rsid w:val="00EA71BC"/>
    <w:rsid w:val="00F44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088D66-A977-49B8-A699-70D513C7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E5E"/>
  </w:style>
  <w:style w:type="paragraph" w:styleId="Footer">
    <w:name w:val="footer"/>
    <w:basedOn w:val="Normal"/>
    <w:link w:val="FooterChar"/>
    <w:uiPriority w:val="99"/>
    <w:unhideWhenUsed/>
    <w:rsid w:val="005E6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E5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E0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B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60</cp:revision>
  <dcterms:created xsi:type="dcterms:W3CDTF">2018-10-08T06:37:00Z</dcterms:created>
  <dcterms:modified xsi:type="dcterms:W3CDTF">2018-10-08T10:37:00Z</dcterms:modified>
</cp:coreProperties>
</file>